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A48B" w14:textId="77777777" w:rsidR="0004348F" w:rsidRDefault="002D02C9">
      <w:r>
        <w:t xml:space="preserve"> </w:t>
      </w:r>
    </w:p>
    <w:p w14:paraId="41CB56A4" w14:textId="3F39D9F2" w:rsidR="00D95CAE" w:rsidRPr="00D95CAE" w:rsidRDefault="00D95CAE" w:rsidP="00D95CAE">
      <w:pPr>
        <w:keepNext/>
        <w:keepLines/>
        <w:spacing w:before="200"/>
        <w:outlineLvl w:val="1"/>
        <w:rPr>
          <w:rFonts w:ascii="Calibri" w:eastAsia="Calibri" w:hAnsi="Calibri" w:cstheme="majorBidi"/>
          <w:b/>
          <w:bCs/>
          <w:color w:val="4F81BD" w:themeColor="accent1"/>
          <w:sz w:val="28"/>
          <w:szCs w:val="28"/>
          <w:lang w:val="ro-RO"/>
        </w:rPr>
      </w:pPr>
      <w:bookmarkStart w:id="0" w:name="_Toc3311408"/>
      <w:r w:rsidRPr="00D95CAE">
        <w:rPr>
          <w:rFonts w:ascii="Calibri" w:eastAsia="Calibri" w:hAnsi="Calibri" w:cstheme="majorBidi"/>
          <w:b/>
          <w:bCs/>
          <w:color w:val="4F81BD" w:themeColor="accent1"/>
          <w:sz w:val="28"/>
          <w:szCs w:val="28"/>
          <w:lang w:val="ro-RO"/>
        </w:rPr>
        <w:t>ANEXA 1</w:t>
      </w:r>
      <w:r w:rsidR="00AB2FB9">
        <w:rPr>
          <w:rFonts w:ascii="Calibri" w:eastAsia="Calibri" w:hAnsi="Calibri" w:cstheme="majorBidi"/>
          <w:b/>
          <w:bCs/>
          <w:color w:val="4F81BD" w:themeColor="accent1"/>
          <w:sz w:val="28"/>
          <w:szCs w:val="28"/>
          <w:lang w:val="ro-RO"/>
        </w:rPr>
        <w:t>a</w:t>
      </w:r>
      <w:r w:rsidRPr="00D95CAE">
        <w:rPr>
          <w:rFonts w:ascii="Calibri" w:eastAsia="Calibri" w:hAnsi="Calibri" w:cstheme="majorBidi"/>
          <w:b/>
          <w:bCs/>
          <w:color w:val="4F81BD" w:themeColor="accent1"/>
          <w:sz w:val="28"/>
          <w:szCs w:val="28"/>
          <w:lang w:val="ro-RO"/>
        </w:rPr>
        <w:t xml:space="preserve">. Buget Indicativ și Fundamentarea bugetului pe categorii de cheltuieli eligibile, corelate cu activitățile și rezultatele proiectului </w:t>
      </w:r>
      <w:bookmarkEnd w:id="0"/>
    </w:p>
    <w:p w14:paraId="30C7AC05" w14:textId="77777777" w:rsidR="00D95CAE" w:rsidRDefault="00D95CAE" w:rsidP="00D95CAE">
      <w:pPr>
        <w:spacing w:before="120" w:after="120"/>
        <w:contextualSpacing/>
        <w:jc w:val="both"/>
        <w:rPr>
          <w:rFonts w:ascii="Calibri" w:eastAsia="Calibri" w:hAnsi="Calibri"/>
          <w:sz w:val="32"/>
          <w:szCs w:val="32"/>
          <w:lang w:val="ro-RO"/>
        </w:rPr>
      </w:pPr>
    </w:p>
    <w:p w14:paraId="771EF881" w14:textId="77777777" w:rsidR="006F08AD" w:rsidRDefault="006F08AD" w:rsidP="00D95CAE">
      <w:pPr>
        <w:spacing w:before="120" w:after="120"/>
        <w:contextualSpacing/>
        <w:jc w:val="both"/>
        <w:rPr>
          <w:rFonts w:ascii="Calibri" w:eastAsia="Calibri" w:hAnsi="Calibri"/>
          <w:sz w:val="32"/>
          <w:szCs w:val="32"/>
          <w:lang w:val="ro-RO"/>
        </w:rPr>
      </w:pPr>
    </w:p>
    <w:p w14:paraId="7A307202"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BUGET INDICATIV</w:t>
      </w:r>
      <w:r w:rsidRPr="006F08AD">
        <w:rPr>
          <w:rFonts w:ascii="Calibri" w:eastAsia="Calibri" w:hAnsi="Calibri"/>
          <w:sz w:val="24"/>
          <w:szCs w:val="22"/>
          <w:vertAlign w:val="superscript"/>
          <w:lang w:val="ro-RO"/>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F08AD" w:rsidRPr="006F08AD" w14:paraId="0017F814" w14:textId="77777777" w:rsidTr="00DB48ED">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2F92AE63"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38E8F4"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Cheltuieli</w:t>
            </w:r>
          </w:p>
          <w:p w14:paraId="074D9C14"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eligibile</w:t>
            </w:r>
          </w:p>
          <w:p w14:paraId="47697106"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21D124"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Cheltuieli neeligibile</w:t>
            </w:r>
          </w:p>
          <w:p w14:paraId="33612360"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096F6CA"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Total</w:t>
            </w:r>
          </w:p>
          <w:p w14:paraId="2A865FDA"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(Euro)</w:t>
            </w:r>
          </w:p>
        </w:tc>
      </w:tr>
      <w:tr w:rsidR="006F08AD" w:rsidRPr="006F08AD" w14:paraId="01999E5F" w14:textId="77777777" w:rsidTr="00DB48ED">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3294CE7D"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1C2663C"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69D8BE39"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B0673EA"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6E880025" w14:textId="77777777" w:rsidTr="00DB48ED">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D5D4520"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7E31D9AE"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978D3BB"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0B5F9FF4"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2F54FF93"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27A8798"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1B0D1AC"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57688C46"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60DA3CA2"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110B572F"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ADD7361"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4CA04D4B"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CC2163B"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7CDBA30E"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44D0D9BE"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B1C6CBA"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C8426CA"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3805580E" w14:textId="77777777" w:rsidTr="00DB48ED">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B3E1702" w14:textId="77777777" w:rsidR="006F08AD" w:rsidRPr="006F08AD" w:rsidRDefault="006F08AD" w:rsidP="006F08AD">
            <w:pPr>
              <w:contextualSpacing/>
              <w:jc w:val="both"/>
              <w:rPr>
                <w:rFonts w:ascii="Calibri" w:eastAsia="Calibri" w:hAnsi="Calibri"/>
                <w:b/>
                <w:sz w:val="24"/>
                <w:szCs w:val="22"/>
                <w:lang w:val="ro-RO"/>
              </w:rPr>
            </w:pPr>
            <w:r w:rsidRPr="006F08AD">
              <w:rPr>
                <w:rFonts w:ascii="Calibri" w:eastAsia="Calibri" w:hAnsi="Calibri"/>
                <w:b/>
                <w:sz w:val="24"/>
                <w:szCs w:val="22"/>
                <w:lang w:val="ro-RO"/>
              </w:rPr>
              <w:t>PLANUL FINANCIAR</w:t>
            </w:r>
          </w:p>
        </w:tc>
      </w:tr>
      <w:tr w:rsidR="006F08AD" w:rsidRPr="006F08AD" w14:paraId="79DC9A12"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00FF0FF"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E9D2D4B"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2EDF7B1A"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4E825AA7"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5427C51C"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F0FA9D7"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6F355FA"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0362C7E"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29559AFE"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31FBCB93"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4C19DEA"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62D3CC35"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724E01EA"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5AC6718"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20905CD9"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BDA7A9"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DD5CF64"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4E8216BB"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6FAED0E2"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034904A1"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46B64A"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7CCC1D54" w14:textId="77777777" w:rsidR="006F08AD" w:rsidRPr="006F08AD" w:rsidRDefault="006F08AD" w:rsidP="006F08AD">
            <w:pPr>
              <w:contextualSpacing/>
              <w:jc w:val="both"/>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3D8E27A9"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119459E3" w14:textId="77777777" w:rsidR="006F08AD" w:rsidRPr="006F08AD" w:rsidRDefault="006F08AD" w:rsidP="006F08AD">
            <w:pPr>
              <w:contextualSpacing/>
              <w:jc w:val="both"/>
              <w:rPr>
                <w:rFonts w:ascii="Calibri" w:eastAsia="Calibri" w:hAnsi="Calibri"/>
                <w:sz w:val="24"/>
                <w:szCs w:val="22"/>
                <w:lang w:val="ro-RO"/>
              </w:rPr>
            </w:pPr>
          </w:p>
        </w:tc>
      </w:tr>
      <w:tr w:rsidR="006F08AD" w:rsidRPr="006F08AD" w14:paraId="6465E5F0" w14:textId="77777777" w:rsidTr="00DB48ED">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33994" w14:textId="77777777" w:rsidR="006F08AD" w:rsidRPr="006F08AD" w:rsidRDefault="006F08AD" w:rsidP="006F08AD">
            <w:pPr>
              <w:contextualSpacing/>
              <w:jc w:val="both"/>
              <w:rPr>
                <w:rFonts w:ascii="Calibri" w:eastAsia="Calibri" w:hAnsi="Calibri"/>
                <w:sz w:val="24"/>
                <w:szCs w:val="22"/>
                <w:lang w:val="ro-RO"/>
              </w:rPr>
            </w:pPr>
            <w:r w:rsidRPr="006F08AD">
              <w:rPr>
                <w:rFonts w:ascii="Calibri" w:eastAsia="Calibri" w:hAnsi="Calibri"/>
                <w:sz w:val="24"/>
                <w:szCs w:val="22"/>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504B93C" w14:textId="77777777" w:rsidR="006F08AD" w:rsidRPr="006F08AD" w:rsidRDefault="006F08AD" w:rsidP="006F08AD">
            <w:pPr>
              <w:contextualSpacing/>
              <w:jc w:val="center"/>
              <w:rPr>
                <w:rFonts w:ascii="Calibri" w:eastAsia="Calibri" w:hAnsi="Calibri"/>
                <w:sz w:val="24"/>
                <w:szCs w:val="22"/>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14:paraId="014314CF" w14:textId="77777777" w:rsidR="006F08AD" w:rsidRPr="006F08AD" w:rsidRDefault="006F08AD" w:rsidP="006F08AD">
            <w:pPr>
              <w:contextualSpacing/>
              <w:jc w:val="both"/>
              <w:rPr>
                <w:rFonts w:ascii="Calibri" w:eastAsia="Calibri" w:hAnsi="Calibri"/>
                <w:sz w:val="24"/>
                <w:szCs w:val="22"/>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0581ECCB" w14:textId="77777777" w:rsidR="006F08AD" w:rsidRPr="006F08AD" w:rsidRDefault="006F08AD" w:rsidP="006F08AD">
            <w:pPr>
              <w:contextualSpacing/>
              <w:jc w:val="both"/>
              <w:rPr>
                <w:rFonts w:ascii="Calibri" w:eastAsia="Calibri" w:hAnsi="Calibri"/>
                <w:sz w:val="24"/>
                <w:szCs w:val="22"/>
                <w:lang w:val="ro-RO"/>
              </w:rPr>
            </w:pPr>
          </w:p>
        </w:tc>
      </w:tr>
    </w:tbl>
    <w:p w14:paraId="34330462" w14:textId="77777777" w:rsidR="006F08AD" w:rsidRPr="00D95CAE" w:rsidRDefault="006F08AD" w:rsidP="00D95CAE">
      <w:pPr>
        <w:spacing w:before="120" w:after="120"/>
        <w:contextualSpacing/>
        <w:jc w:val="both"/>
        <w:rPr>
          <w:rFonts w:ascii="Calibri" w:eastAsia="Calibri" w:hAnsi="Calibri"/>
          <w:sz w:val="32"/>
          <w:szCs w:val="32"/>
          <w:lang w:val="ro-RO"/>
        </w:rPr>
      </w:pPr>
    </w:p>
    <w:p w14:paraId="243BF62D" w14:textId="77777777" w:rsidR="00D95CAE" w:rsidRPr="00D95CAE" w:rsidRDefault="00D95CAE" w:rsidP="00D95CAE">
      <w:pPr>
        <w:spacing w:before="120" w:after="120"/>
        <w:contextualSpacing/>
        <w:jc w:val="both"/>
        <w:rPr>
          <w:rFonts w:ascii="Calibri" w:eastAsia="Calibri" w:hAnsi="Calibri"/>
          <w:sz w:val="24"/>
          <w:szCs w:val="22"/>
          <w:lang w:val="ro-RO"/>
        </w:rPr>
      </w:pPr>
    </w:p>
    <w:p w14:paraId="2B5FD645" w14:textId="77777777" w:rsidR="00D95CAE" w:rsidRPr="00D95CAE" w:rsidRDefault="00D95CAE" w:rsidP="00D95CAE">
      <w:pPr>
        <w:rPr>
          <w:rFonts w:ascii="Calibri" w:eastAsia="Calibri" w:hAnsi="Calibri"/>
          <w:b/>
          <w:bCs/>
          <w:sz w:val="24"/>
          <w:szCs w:val="22"/>
          <w:lang w:val="ro-RO"/>
        </w:rPr>
      </w:pPr>
      <w:bookmarkStart w:id="1" w:name="_Toc3311418"/>
      <w:r w:rsidRPr="00D95CAE">
        <w:rPr>
          <w:b/>
          <w:bCs/>
          <w:sz w:val="24"/>
          <w:szCs w:val="24"/>
          <w:lang w:val="ro-RO"/>
        </w:rPr>
        <w:t xml:space="preserve">Tabel </w:t>
      </w:r>
      <w:r w:rsidRPr="00D95CAE">
        <w:rPr>
          <w:b/>
          <w:bCs/>
          <w:sz w:val="24"/>
          <w:szCs w:val="24"/>
          <w:lang w:val="ro-RO"/>
        </w:rPr>
        <w:fldChar w:fldCharType="begin"/>
      </w:r>
      <w:r w:rsidRPr="00D95CAE">
        <w:rPr>
          <w:b/>
          <w:bCs/>
          <w:sz w:val="24"/>
          <w:szCs w:val="24"/>
          <w:lang w:val="ro-RO"/>
        </w:rPr>
        <w:instrText xml:space="preserve"> SEQ Tabel \* ARABIC </w:instrText>
      </w:r>
      <w:r w:rsidRPr="00D95CAE">
        <w:rPr>
          <w:b/>
          <w:bCs/>
          <w:sz w:val="24"/>
          <w:szCs w:val="24"/>
          <w:lang w:val="ro-RO"/>
        </w:rPr>
        <w:fldChar w:fldCharType="separate"/>
      </w:r>
      <w:r w:rsidR="006F08AD">
        <w:rPr>
          <w:b/>
          <w:bCs/>
          <w:noProof/>
          <w:sz w:val="24"/>
          <w:szCs w:val="24"/>
          <w:lang w:val="ro-RO"/>
        </w:rPr>
        <w:t>1</w:t>
      </w:r>
      <w:r w:rsidRPr="00D95CAE">
        <w:rPr>
          <w:b/>
          <w:bCs/>
          <w:sz w:val="24"/>
          <w:szCs w:val="24"/>
          <w:lang w:val="ro-RO"/>
        </w:rPr>
        <w:fldChar w:fldCharType="end"/>
      </w:r>
      <w:r w:rsidRPr="00D95CAE">
        <w:rPr>
          <w:b/>
          <w:bCs/>
          <w:sz w:val="24"/>
          <w:szCs w:val="24"/>
          <w:lang w:val="ro-RO"/>
        </w:rPr>
        <w:t>. Buget indicativ</w:t>
      </w:r>
      <w:bookmarkEnd w:id="1"/>
      <w:r w:rsidRPr="00D95CAE">
        <w:rPr>
          <w:b/>
          <w:bCs/>
          <w:sz w:val="24"/>
          <w:szCs w:val="24"/>
          <w:lang w:val="ro-RO"/>
        </w:rPr>
        <w:t xml:space="preserve"> </w:t>
      </w:r>
    </w:p>
    <w:p w14:paraId="16ABD834"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Cheltuielile eligibile: </w:t>
      </w:r>
    </w:p>
    <w:p w14:paraId="59921323" w14:textId="77777777" w:rsidR="006F08AD" w:rsidRPr="006F08AD" w:rsidRDefault="006F08AD" w:rsidP="006F08AD">
      <w:pPr>
        <w:spacing w:before="120" w:after="120"/>
        <w:contextualSpacing/>
        <w:jc w:val="both"/>
        <w:rPr>
          <w:rFonts w:ascii="Calibri" w:eastAsia="Calibri" w:hAnsi="Calibri"/>
          <w:sz w:val="24"/>
          <w:szCs w:val="22"/>
          <w:lang w:val="ro-RO"/>
        </w:rPr>
      </w:pPr>
    </w:p>
    <w:p w14:paraId="53F51429"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Pentru Cap I: </w:t>
      </w:r>
    </w:p>
    <w:p w14:paraId="7C1338B1"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0872C94D"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lastRenderedPageBreak/>
        <w:t>-</w:t>
      </w:r>
      <w:r w:rsidRPr="006F08AD">
        <w:rPr>
          <w:rFonts w:ascii="Calibri" w:eastAsia="Calibri" w:hAnsi="Calibri"/>
          <w:sz w:val="24"/>
          <w:szCs w:val="22"/>
          <w:lang w:val="ro-RO"/>
        </w:rPr>
        <w:tab/>
        <w:t>cheltuieli privind transportul experților la acțiunile proiectului;</w:t>
      </w:r>
    </w:p>
    <w:p w14:paraId="36A15123"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privind cazarea experților la acțiunile proiectului;</w:t>
      </w:r>
    </w:p>
    <w:p w14:paraId="65B26E19"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privind masa/ diurna  experților la acțiunile proiectului.</w:t>
      </w:r>
    </w:p>
    <w:p w14:paraId="0936B2BE" w14:textId="77777777" w:rsidR="006F08AD" w:rsidRPr="006F08AD" w:rsidRDefault="006F08AD" w:rsidP="006F08AD">
      <w:pPr>
        <w:spacing w:before="120" w:after="120"/>
        <w:contextualSpacing/>
        <w:jc w:val="both"/>
        <w:rPr>
          <w:rFonts w:ascii="Calibri" w:eastAsia="Calibri" w:hAnsi="Calibri"/>
          <w:sz w:val="24"/>
          <w:szCs w:val="22"/>
          <w:lang w:val="ro-RO"/>
        </w:rPr>
      </w:pPr>
    </w:p>
    <w:p w14:paraId="1273C797"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Cheltuielile cu transportul, cazarea și masa/diurna sunt eligibile strict pe durata de desfășurare a acțiunilor proiectului la care participă experții.</w:t>
      </w:r>
    </w:p>
    <w:p w14:paraId="7EBCB7E7" w14:textId="77777777" w:rsidR="006F08AD" w:rsidRPr="006F08AD" w:rsidRDefault="006F08AD" w:rsidP="006F08AD">
      <w:pPr>
        <w:spacing w:before="120" w:after="120"/>
        <w:contextualSpacing/>
        <w:jc w:val="both"/>
        <w:rPr>
          <w:rFonts w:ascii="Calibri" w:eastAsia="Calibri" w:hAnsi="Calibri"/>
          <w:sz w:val="24"/>
          <w:szCs w:val="22"/>
          <w:lang w:val="ro-RO"/>
        </w:rPr>
      </w:pPr>
    </w:p>
    <w:p w14:paraId="28E82722"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Există două variante posibile pentru asigurarea personalului implicat în proiect:</w:t>
      </w:r>
    </w:p>
    <w:p w14:paraId="6D3213E6"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1.</w:t>
      </w:r>
      <w:r w:rsidRPr="006F08AD">
        <w:rPr>
          <w:rFonts w:ascii="Calibri" w:eastAsia="Calibri" w:hAnsi="Calibri"/>
          <w:sz w:val="24"/>
          <w:szCs w:val="22"/>
          <w:lang w:val="ro-RO"/>
        </w:rPr>
        <w:tab/>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35324283"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2.</w:t>
      </w:r>
      <w:r w:rsidRPr="006F08AD">
        <w:rPr>
          <w:rFonts w:ascii="Calibri" w:eastAsia="Calibri" w:hAnsi="Calibri"/>
          <w:sz w:val="24"/>
          <w:szCs w:val="22"/>
          <w:lang w:val="ro-RO"/>
        </w:rPr>
        <w:tab/>
        <w:t xml:space="preserve">Experții implicați în derularea proiectului în baza unor contracte de prestări servicii cu entități fără personalitate juridică, respectiv PFA/II, situație în care plata se va realiza pe bază de factură, aceasta reprezentând onorariul, care include și cheltuielile de transport, cazare și masă. În acest caz, modalitatea de plată a contribuțiilor către bugetul de stat este în responsabilitatea expertului care a prestat serviciul respectiv (PFA sau II). </w:t>
      </w:r>
    </w:p>
    <w:p w14:paraId="642E5B0D" w14:textId="77777777" w:rsidR="006F08AD" w:rsidRPr="006F08AD" w:rsidRDefault="006F08AD" w:rsidP="006F08AD">
      <w:pPr>
        <w:spacing w:before="120" w:after="120"/>
        <w:contextualSpacing/>
        <w:jc w:val="both"/>
        <w:rPr>
          <w:rFonts w:ascii="Calibri" w:eastAsia="Calibri" w:hAnsi="Calibri"/>
          <w:sz w:val="24"/>
          <w:szCs w:val="22"/>
          <w:lang w:val="ro-RO"/>
        </w:rPr>
      </w:pPr>
    </w:p>
    <w:p w14:paraId="6167FC27"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Plafoanele prevăzute în Baza de date cu prețuri maximale pentru proiectele finanțate prin LEADER pentru salarii, respectiv onorarii pentru personalul implicat în proiect nu includ  cheltuielile de transport, cazare și masă. </w:t>
      </w:r>
    </w:p>
    <w:p w14:paraId="6D415CBA" w14:textId="77777777" w:rsidR="006F08AD" w:rsidRPr="006F08AD" w:rsidRDefault="006F08AD" w:rsidP="006F08AD">
      <w:pPr>
        <w:spacing w:before="120" w:after="120"/>
        <w:contextualSpacing/>
        <w:jc w:val="both"/>
        <w:rPr>
          <w:rFonts w:ascii="Calibri" w:eastAsia="Calibri" w:hAnsi="Calibri"/>
          <w:sz w:val="24"/>
          <w:szCs w:val="22"/>
          <w:lang w:val="ro-RO"/>
        </w:rPr>
      </w:pPr>
    </w:p>
    <w:p w14:paraId="7F8F2F5F"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Toate cheltuielile de mai sus necesită procedură de achiziții, cu excepția: </w:t>
      </w:r>
    </w:p>
    <w:p w14:paraId="33194D9E"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cheltuielilor cu plata personalului implicat in proiect indiferent de forma de retribuire a acestuia;</w:t>
      </w:r>
    </w:p>
    <w:p w14:paraId="6CC374D9"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cheltuielilor de cazare, atunci când nu se </w:t>
      </w:r>
      <w:proofErr w:type="spellStart"/>
      <w:r w:rsidRPr="006F08AD">
        <w:rPr>
          <w:rFonts w:ascii="Calibri" w:eastAsia="Calibri" w:hAnsi="Calibri"/>
          <w:sz w:val="24"/>
          <w:szCs w:val="22"/>
          <w:lang w:val="ro-RO"/>
        </w:rPr>
        <w:t>externalizează</w:t>
      </w:r>
      <w:proofErr w:type="spellEnd"/>
      <w:r w:rsidRPr="006F08AD">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6F08AD">
        <w:rPr>
          <w:rFonts w:ascii="Calibri" w:eastAsia="Calibri" w:hAnsi="Calibri"/>
          <w:sz w:val="24"/>
          <w:szCs w:val="22"/>
          <w:lang w:val="ro-RO"/>
        </w:rPr>
        <w:t>obligaţiile</w:t>
      </w:r>
      <w:proofErr w:type="spellEnd"/>
      <w:r w:rsidRPr="006F08AD">
        <w:rPr>
          <w:rFonts w:ascii="Calibri" w:eastAsia="Calibri" w:hAnsi="Calibri"/>
          <w:sz w:val="24"/>
          <w:szCs w:val="22"/>
          <w:lang w:val="ro-RO"/>
        </w:rPr>
        <w:t xml:space="preserve"> personalului </w:t>
      </w:r>
      <w:proofErr w:type="spellStart"/>
      <w:r w:rsidRPr="006F08AD">
        <w:rPr>
          <w:rFonts w:ascii="Calibri" w:eastAsia="Calibri" w:hAnsi="Calibri"/>
          <w:sz w:val="24"/>
          <w:szCs w:val="22"/>
          <w:lang w:val="ro-RO"/>
        </w:rPr>
        <w:t>autorităţilor</w:t>
      </w:r>
      <w:proofErr w:type="spellEnd"/>
      <w:r w:rsidRPr="006F08AD">
        <w:rPr>
          <w:rFonts w:ascii="Calibri" w:eastAsia="Calibri" w:hAnsi="Calibri"/>
          <w:sz w:val="24"/>
          <w:szCs w:val="22"/>
          <w:lang w:val="ro-RO"/>
        </w:rPr>
        <w:t xml:space="preserve"> şi </w:t>
      </w:r>
      <w:proofErr w:type="spellStart"/>
      <w:r w:rsidRPr="006F08AD">
        <w:rPr>
          <w:rFonts w:ascii="Calibri" w:eastAsia="Calibri" w:hAnsi="Calibri"/>
          <w:sz w:val="24"/>
          <w:szCs w:val="22"/>
          <w:lang w:val="ro-RO"/>
        </w:rPr>
        <w:t>instituţiilor</w:t>
      </w:r>
      <w:proofErr w:type="spellEnd"/>
      <w:r w:rsidRPr="006F08AD">
        <w:rPr>
          <w:rFonts w:ascii="Calibri" w:eastAsia="Calibri" w:hAnsi="Calibri"/>
          <w:sz w:val="24"/>
          <w:szCs w:val="22"/>
          <w:lang w:val="ro-RO"/>
        </w:rPr>
        <w:t xml:space="preserve"> publice pe perioada delegării şi </w:t>
      </w:r>
      <w:proofErr w:type="spellStart"/>
      <w:r w:rsidRPr="006F08AD">
        <w:rPr>
          <w:rFonts w:ascii="Calibri" w:eastAsia="Calibri" w:hAnsi="Calibri"/>
          <w:sz w:val="24"/>
          <w:szCs w:val="22"/>
          <w:lang w:val="ro-RO"/>
        </w:rPr>
        <w:t>detaşării</w:t>
      </w:r>
      <w:proofErr w:type="spellEnd"/>
      <w:r w:rsidRPr="006F08AD">
        <w:rPr>
          <w:rFonts w:ascii="Calibri" w:eastAsia="Calibri" w:hAnsi="Calibri"/>
          <w:sz w:val="24"/>
          <w:szCs w:val="22"/>
          <w:lang w:val="ro-RO"/>
        </w:rPr>
        <w:t xml:space="preserve"> în altă localitate, precum şi în cazul deplasării în interesul serviciului;</w:t>
      </w:r>
    </w:p>
    <w:p w14:paraId="2166897E"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cheltuielilor cu diurna;</w:t>
      </w:r>
    </w:p>
    <w:p w14:paraId="75B56689"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cheltuielilor de transport, atunci când nu se </w:t>
      </w:r>
      <w:proofErr w:type="spellStart"/>
      <w:r w:rsidRPr="006F08AD">
        <w:rPr>
          <w:rFonts w:ascii="Calibri" w:eastAsia="Calibri" w:hAnsi="Calibri"/>
          <w:sz w:val="24"/>
          <w:szCs w:val="22"/>
          <w:lang w:val="ro-RO"/>
        </w:rPr>
        <w:t>externalizează</w:t>
      </w:r>
      <w:proofErr w:type="spellEnd"/>
      <w:r w:rsidRPr="006F08AD">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6F08AD">
        <w:rPr>
          <w:rFonts w:ascii="Calibri" w:eastAsia="Calibri" w:hAnsi="Calibri"/>
          <w:sz w:val="24"/>
          <w:szCs w:val="22"/>
          <w:lang w:val="ro-RO"/>
        </w:rPr>
        <w:t>obligaţiile</w:t>
      </w:r>
      <w:proofErr w:type="spellEnd"/>
      <w:r w:rsidRPr="006F08AD">
        <w:rPr>
          <w:rFonts w:ascii="Calibri" w:eastAsia="Calibri" w:hAnsi="Calibri"/>
          <w:sz w:val="24"/>
          <w:szCs w:val="22"/>
          <w:lang w:val="ro-RO"/>
        </w:rPr>
        <w:t xml:space="preserve"> personalului </w:t>
      </w:r>
      <w:proofErr w:type="spellStart"/>
      <w:r w:rsidRPr="006F08AD">
        <w:rPr>
          <w:rFonts w:ascii="Calibri" w:eastAsia="Calibri" w:hAnsi="Calibri"/>
          <w:sz w:val="24"/>
          <w:szCs w:val="22"/>
          <w:lang w:val="ro-RO"/>
        </w:rPr>
        <w:t>autorităţilor</w:t>
      </w:r>
      <w:proofErr w:type="spellEnd"/>
      <w:r w:rsidRPr="006F08AD">
        <w:rPr>
          <w:rFonts w:ascii="Calibri" w:eastAsia="Calibri" w:hAnsi="Calibri"/>
          <w:sz w:val="24"/>
          <w:szCs w:val="22"/>
          <w:lang w:val="ro-RO"/>
        </w:rPr>
        <w:t xml:space="preserve"> şi </w:t>
      </w:r>
      <w:proofErr w:type="spellStart"/>
      <w:r w:rsidRPr="006F08AD">
        <w:rPr>
          <w:rFonts w:ascii="Calibri" w:eastAsia="Calibri" w:hAnsi="Calibri"/>
          <w:sz w:val="24"/>
          <w:szCs w:val="22"/>
          <w:lang w:val="ro-RO"/>
        </w:rPr>
        <w:t>instituţiilor</w:t>
      </w:r>
      <w:proofErr w:type="spellEnd"/>
      <w:r w:rsidRPr="006F08AD">
        <w:rPr>
          <w:rFonts w:ascii="Calibri" w:eastAsia="Calibri" w:hAnsi="Calibri"/>
          <w:sz w:val="24"/>
          <w:szCs w:val="22"/>
          <w:lang w:val="ro-RO"/>
        </w:rPr>
        <w:t xml:space="preserve"> publice pe perioada delegării şi </w:t>
      </w:r>
      <w:proofErr w:type="spellStart"/>
      <w:r w:rsidRPr="006F08AD">
        <w:rPr>
          <w:rFonts w:ascii="Calibri" w:eastAsia="Calibri" w:hAnsi="Calibri"/>
          <w:sz w:val="24"/>
          <w:szCs w:val="22"/>
          <w:lang w:val="ro-RO"/>
        </w:rPr>
        <w:t>detaşării</w:t>
      </w:r>
      <w:proofErr w:type="spellEnd"/>
      <w:r w:rsidRPr="006F08AD">
        <w:rPr>
          <w:rFonts w:ascii="Calibri" w:eastAsia="Calibri" w:hAnsi="Calibri"/>
          <w:sz w:val="24"/>
          <w:szCs w:val="22"/>
          <w:lang w:val="ro-RO"/>
        </w:rPr>
        <w:t xml:space="preserve"> în altă localitate, precum şi în cazul deplasării în interesul serviciului.</w:t>
      </w:r>
    </w:p>
    <w:p w14:paraId="4B2B85B6" w14:textId="77777777" w:rsidR="006F08AD" w:rsidRPr="006F08AD" w:rsidRDefault="006F08AD" w:rsidP="006F08AD">
      <w:pPr>
        <w:spacing w:before="120" w:after="120"/>
        <w:contextualSpacing/>
        <w:jc w:val="both"/>
        <w:rPr>
          <w:rFonts w:ascii="Calibri" w:eastAsia="Calibri" w:hAnsi="Calibri"/>
          <w:sz w:val="24"/>
          <w:szCs w:val="22"/>
          <w:lang w:val="ro-RO"/>
        </w:rPr>
      </w:pPr>
    </w:p>
    <w:p w14:paraId="5FB57F57"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Pentru Cap II:</w:t>
      </w:r>
    </w:p>
    <w:p w14:paraId="50E31FD8"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privind transportul participanților la acțiunile proiectului;</w:t>
      </w:r>
    </w:p>
    <w:p w14:paraId="3449893F"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privind cazarea participanților la acțiunile proiectului;</w:t>
      </w:r>
    </w:p>
    <w:p w14:paraId="0422FF52"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 privind masa participanților la acțiunile proiectului; </w:t>
      </w:r>
    </w:p>
    <w:p w14:paraId="4DA9A090"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pentru servicii de traducere și interpretare;</w:t>
      </w:r>
    </w:p>
    <w:p w14:paraId="7F81A1DB"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lastRenderedPageBreak/>
        <w:t>-</w:t>
      </w:r>
      <w:r w:rsidRPr="006F08AD">
        <w:rPr>
          <w:rFonts w:ascii="Calibri" w:eastAsia="Calibri" w:hAnsi="Calibri"/>
          <w:sz w:val="24"/>
          <w:szCs w:val="22"/>
          <w:lang w:val="ro-RO"/>
        </w:rPr>
        <w:tab/>
        <w:t xml:space="preserve">cheltuieli privind elaborarea de studii/ monografii, precum și costurile aferente elaborării unui plan de afaceri/ studiu/ plan de marketing (inclusiv analize de piață, concept de marketing); </w:t>
      </w:r>
    </w:p>
    <w:p w14:paraId="2B2B3DD4"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pentru închirierea de spații adecvate (care includ costurile utilităților) pentru derularea activităților proiectului;</w:t>
      </w:r>
    </w:p>
    <w:p w14:paraId="34EFBDD1"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6C51BF8F"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cu aplicații software adecvate activității descrise în proiect;</w:t>
      </w:r>
    </w:p>
    <w:p w14:paraId="172EB97A"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 pentru achiziția de materiale didactice și/ sau consumabile pentru derularea activităților proiectului; </w:t>
      </w:r>
    </w:p>
    <w:p w14:paraId="768E3FC7"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cu materiale de informare și promovare utilizate în acțiunile proiectului (</w:t>
      </w:r>
      <w:proofErr w:type="spellStart"/>
      <w:r w:rsidRPr="006F08AD">
        <w:rPr>
          <w:rFonts w:ascii="Calibri" w:eastAsia="Calibri" w:hAnsi="Calibri"/>
          <w:sz w:val="24"/>
          <w:szCs w:val="22"/>
          <w:lang w:val="ro-RO"/>
        </w:rPr>
        <w:t>memory</w:t>
      </w:r>
      <w:proofErr w:type="spellEnd"/>
      <w:r w:rsidRPr="006F08AD">
        <w:rPr>
          <w:rFonts w:ascii="Calibri" w:eastAsia="Calibri" w:hAnsi="Calibri"/>
          <w:sz w:val="24"/>
          <w:szCs w:val="22"/>
          <w:lang w:val="ro-RO"/>
        </w:rPr>
        <w:t xml:space="preserve"> </w:t>
      </w:r>
      <w:proofErr w:type="spellStart"/>
      <w:r w:rsidRPr="006F08AD">
        <w:rPr>
          <w:rFonts w:ascii="Calibri" w:eastAsia="Calibri" w:hAnsi="Calibri"/>
          <w:sz w:val="24"/>
          <w:szCs w:val="22"/>
          <w:lang w:val="ro-RO"/>
        </w:rPr>
        <w:t>stick</w:t>
      </w:r>
      <w:proofErr w:type="spellEnd"/>
      <w:r w:rsidRPr="006F08AD">
        <w:rPr>
          <w:rFonts w:ascii="Calibri" w:eastAsia="Calibri" w:hAnsi="Calibri"/>
          <w:sz w:val="24"/>
          <w:szCs w:val="22"/>
          <w:lang w:val="ro-RO"/>
        </w:rPr>
        <w:t xml:space="preserve">, bloc-notes, pix, pliante, afișe, broșuri, banner, geantă umăr, mapă de prezentare, suport de curs, inclusiv pagină web, materiale audio și video, promovare </w:t>
      </w:r>
      <w:proofErr w:type="spellStart"/>
      <w:r w:rsidRPr="006F08AD">
        <w:rPr>
          <w:rFonts w:ascii="Calibri" w:eastAsia="Calibri" w:hAnsi="Calibri"/>
          <w:sz w:val="24"/>
          <w:szCs w:val="22"/>
          <w:lang w:val="ro-RO"/>
        </w:rPr>
        <w:t>platită</w:t>
      </w:r>
      <w:proofErr w:type="spellEnd"/>
      <w:r w:rsidRPr="006F08AD">
        <w:rPr>
          <w:rFonts w:ascii="Calibri" w:eastAsia="Calibri" w:hAnsi="Calibri"/>
          <w:sz w:val="24"/>
          <w:szCs w:val="22"/>
          <w:lang w:val="ro-RO"/>
        </w:rPr>
        <w:t xml:space="preserve"> prin social media și alte rețele de publicitate, radio și televiziune, personalizare echipamente, personalizare auto, etc); </w:t>
      </w:r>
    </w:p>
    <w:p w14:paraId="4A31B9EA"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 cu plata auditorului;</w:t>
      </w:r>
    </w:p>
    <w:p w14:paraId="70B63353"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 privind informarea și promovarea, prin diverse canale de comunicare, a produselor agricole/alimentare care fac obiectul unei scheme de calitate (în conformitate cu prevederile art. 16 alin. (1) din Reg. 1305/2013), cu respectarea specificațiilor prezentate în cadrul Anexei VI la Contractul de finanțare (inclusiv organizarea de târguri, piețe, expoziții, emisiuni, ateliere de lucru și alte forme de evenimente publice); </w:t>
      </w:r>
    </w:p>
    <w:p w14:paraId="18DBF7E2"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alte cheltuieli pentru derularea proiectului (cheltuieli poștale/ de curierat, cheltuieli de telefonie).  </w:t>
      </w:r>
    </w:p>
    <w:p w14:paraId="49C14EFA" w14:textId="77777777" w:rsidR="006F08AD" w:rsidRPr="006F08AD" w:rsidRDefault="006F08AD" w:rsidP="006F08AD">
      <w:pPr>
        <w:spacing w:before="120" w:after="120"/>
        <w:contextualSpacing/>
        <w:jc w:val="both"/>
        <w:rPr>
          <w:rFonts w:ascii="Calibri" w:eastAsia="Calibri" w:hAnsi="Calibri"/>
          <w:sz w:val="24"/>
          <w:szCs w:val="22"/>
          <w:lang w:val="ro-RO"/>
        </w:rPr>
      </w:pPr>
    </w:p>
    <w:p w14:paraId="17FF974D"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Toate cheltuielile de mai sus necesită procedură de achiziții, cu excepția:</w:t>
      </w:r>
    </w:p>
    <w:p w14:paraId="435C2D94"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cheltuielilor pentru închirierea de spații adecvate (care includ costurile utilităților) pentru derularea activităților proiectului (se realizează în baza unui Contract de închiriere, care nu necesită procedură de achiziții); </w:t>
      </w:r>
    </w:p>
    <w:p w14:paraId="424D60FB"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cheltuielilor de cazare, atunci când nu se </w:t>
      </w:r>
      <w:proofErr w:type="spellStart"/>
      <w:r w:rsidRPr="006F08AD">
        <w:rPr>
          <w:rFonts w:ascii="Calibri" w:eastAsia="Calibri" w:hAnsi="Calibri"/>
          <w:sz w:val="24"/>
          <w:szCs w:val="22"/>
          <w:lang w:val="ro-RO"/>
        </w:rPr>
        <w:t>externalizează</w:t>
      </w:r>
      <w:proofErr w:type="spellEnd"/>
      <w:r w:rsidRPr="006F08AD">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6F08AD">
        <w:rPr>
          <w:rFonts w:ascii="Calibri" w:eastAsia="Calibri" w:hAnsi="Calibri"/>
          <w:sz w:val="24"/>
          <w:szCs w:val="22"/>
          <w:lang w:val="ro-RO"/>
        </w:rPr>
        <w:t>obligaţiile</w:t>
      </w:r>
      <w:proofErr w:type="spellEnd"/>
      <w:r w:rsidRPr="006F08AD">
        <w:rPr>
          <w:rFonts w:ascii="Calibri" w:eastAsia="Calibri" w:hAnsi="Calibri"/>
          <w:sz w:val="24"/>
          <w:szCs w:val="22"/>
          <w:lang w:val="ro-RO"/>
        </w:rPr>
        <w:t xml:space="preserve"> personalului </w:t>
      </w:r>
      <w:proofErr w:type="spellStart"/>
      <w:r w:rsidRPr="006F08AD">
        <w:rPr>
          <w:rFonts w:ascii="Calibri" w:eastAsia="Calibri" w:hAnsi="Calibri"/>
          <w:sz w:val="24"/>
          <w:szCs w:val="22"/>
          <w:lang w:val="ro-RO"/>
        </w:rPr>
        <w:t>autorităţilor</w:t>
      </w:r>
      <w:proofErr w:type="spellEnd"/>
      <w:r w:rsidRPr="006F08AD">
        <w:rPr>
          <w:rFonts w:ascii="Calibri" w:eastAsia="Calibri" w:hAnsi="Calibri"/>
          <w:sz w:val="24"/>
          <w:szCs w:val="22"/>
          <w:lang w:val="ro-RO"/>
        </w:rPr>
        <w:t xml:space="preserve"> şi </w:t>
      </w:r>
      <w:proofErr w:type="spellStart"/>
      <w:r w:rsidRPr="006F08AD">
        <w:rPr>
          <w:rFonts w:ascii="Calibri" w:eastAsia="Calibri" w:hAnsi="Calibri"/>
          <w:sz w:val="24"/>
          <w:szCs w:val="22"/>
          <w:lang w:val="ro-RO"/>
        </w:rPr>
        <w:t>instituţiilor</w:t>
      </w:r>
      <w:proofErr w:type="spellEnd"/>
      <w:r w:rsidRPr="006F08AD">
        <w:rPr>
          <w:rFonts w:ascii="Calibri" w:eastAsia="Calibri" w:hAnsi="Calibri"/>
          <w:sz w:val="24"/>
          <w:szCs w:val="22"/>
          <w:lang w:val="ro-RO"/>
        </w:rPr>
        <w:t xml:space="preserve"> publice pe perioada delegării şi </w:t>
      </w:r>
      <w:proofErr w:type="spellStart"/>
      <w:r w:rsidRPr="006F08AD">
        <w:rPr>
          <w:rFonts w:ascii="Calibri" w:eastAsia="Calibri" w:hAnsi="Calibri"/>
          <w:sz w:val="24"/>
          <w:szCs w:val="22"/>
          <w:lang w:val="ro-RO"/>
        </w:rPr>
        <w:t>detaşării</w:t>
      </w:r>
      <w:proofErr w:type="spellEnd"/>
      <w:r w:rsidRPr="006F08AD">
        <w:rPr>
          <w:rFonts w:ascii="Calibri" w:eastAsia="Calibri" w:hAnsi="Calibri"/>
          <w:sz w:val="24"/>
          <w:szCs w:val="22"/>
          <w:lang w:val="ro-RO"/>
        </w:rPr>
        <w:t xml:space="preserve"> în altă localitate, precum şi în cazul deplasării în interesul serviciului;</w:t>
      </w:r>
    </w:p>
    <w:p w14:paraId="2D8E4B56"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cheltuielilor de transport, atunci când nu se </w:t>
      </w:r>
      <w:proofErr w:type="spellStart"/>
      <w:r w:rsidRPr="006F08AD">
        <w:rPr>
          <w:rFonts w:ascii="Calibri" w:eastAsia="Calibri" w:hAnsi="Calibri"/>
          <w:sz w:val="24"/>
          <w:szCs w:val="22"/>
          <w:lang w:val="ro-RO"/>
        </w:rPr>
        <w:t>externalizează</w:t>
      </w:r>
      <w:proofErr w:type="spellEnd"/>
      <w:r w:rsidRPr="006F08AD">
        <w:rPr>
          <w:rFonts w:ascii="Calibri" w:eastAsia="Calibri" w:hAnsi="Calibri"/>
          <w:sz w:val="24"/>
          <w:szCs w:val="22"/>
          <w:lang w:val="ro-RO"/>
        </w:rPr>
        <w:t xml:space="preserve">. În acest caz, decontarea acestora se va realiza cu respectarea baremurilor impuse de HG nr. 714/2018, privind drepturile şi </w:t>
      </w:r>
      <w:proofErr w:type="spellStart"/>
      <w:r w:rsidRPr="006F08AD">
        <w:rPr>
          <w:rFonts w:ascii="Calibri" w:eastAsia="Calibri" w:hAnsi="Calibri"/>
          <w:sz w:val="24"/>
          <w:szCs w:val="22"/>
          <w:lang w:val="ro-RO"/>
        </w:rPr>
        <w:t>obligaţiile</w:t>
      </w:r>
      <w:proofErr w:type="spellEnd"/>
      <w:r w:rsidRPr="006F08AD">
        <w:rPr>
          <w:rFonts w:ascii="Calibri" w:eastAsia="Calibri" w:hAnsi="Calibri"/>
          <w:sz w:val="24"/>
          <w:szCs w:val="22"/>
          <w:lang w:val="ro-RO"/>
        </w:rPr>
        <w:t xml:space="preserve"> personalului </w:t>
      </w:r>
      <w:proofErr w:type="spellStart"/>
      <w:r w:rsidRPr="006F08AD">
        <w:rPr>
          <w:rFonts w:ascii="Calibri" w:eastAsia="Calibri" w:hAnsi="Calibri"/>
          <w:sz w:val="24"/>
          <w:szCs w:val="22"/>
          <w:lang w:val="ro-RO"/>
        </w:rPr>
        <w:t>autorităţilor</w:t>
      </w:r>
      <w:proofErr w:type="spellEnd"/>
      <w:r w:rsidRPr="006F08AD">
        <w:rPr>
          <w:rFonts w:ascii="Calibri" w:eastAsia="Calibri" w:hAnsi="Calibri"/>
          <w:sz w:val="24"/>
          <w:szCs w:val="22"/>
          <w:lang w:val="ro-RO"/>
        </w:rPr>
        <w:t xml:space="preserve"> şi </w:t>
      </w:r>
      <w:proofErr w:type="spellStart"/>
      <w:r w:rsidRPr="006F08AD">
        <w:rPr>
          <w:rFonts w:ascii="Calibri" w:eastAsia="Calibri" w:hAnsi="Calibri"/>
          <w:sz w:val="24"/>
          <w:szCs w:val="22"/>
          <w:lang w:val="ro-RO"/>
        </w:rPr>
        <w:t>instituţiilor</w:t>
      </w:r>
      <w:proofErr w:type="spellEnd"/>
      <w:r w:rsidRPr="006F08AD">
        <w:rPr>
          <w:rFonts w:ascii="Calibri" w:eastAsia="Calibri" w:hAnsi="Calibri"/>
          <w:sz w:val="24"/>
          <w:szCs w:val="22"/>
          <w:lang w:val="ro-RO"/>
        </w:rPr>
        <w:t xml:space="preserve"> publice pe perioada delegării şi </w:t>
      </w:r>
      <w:proofErr w:type="spellStart"/>
      <w:r w:rsidRPr="006F08AD">
        <w:rPr>
          <w:rFonts w:ascii="Calibri" w:eastAsia="Calibri" w:hAnsi="Calibri"/>
          <w:sz w:val="24"/>
          <w:szCs w:val="22"/>
          <w:lang w:val="ro-RO"/>
        </w:rPr>
        <w:t>detaşării</w:t>
      </w:r>
      <w:proofErr w:type="spellEnd"/>
      <w:r w:rsidRPr="006F08AD">
        <w:rPr>
          <w:rFonts w:ascii="Calibri" w:eastAsia="Calibri" w:hAnsi="Calibri"/>
          <w:sz w:val="24"/>
          <w:szCs w:val="22"/>
          <w:lang w:val="ro-RO"/>
        </w:rPr>
        <w:t xml:space="preserve"> în altă localitate, precum şi în cazul deplasării în interesul serviciului;</w:t>
      </w:r>
    </w:p>
    <w:p w14:paraId="46ECE707"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cheltuielilor poștale/ de curierat.</w:t>
      </w:r>
    </w:p>
    <w:p w14:paraId="0967C7A5" w14:textId="77777777" w:rsidR="006F08AD" w:rsidRPr="006F08AD" w:rsidRDefault="006F08AD" w:rsidP="006F08AD">
      <w:pPr>
        <w:spacing w:before="120" w:after="120"/>
        <w:contextualSpacing/>
        <w:jc w:val="both"/>
        <w:rPr>
          <w:rFonts w:ascii="Calibri" w:eastAsia="Calibri" w:hAnsi="Calibri"/>
          <w:sz w:val="24"/>
          <w:szCs w:val="22"/>
          <w:lang w:val="ro-RO"/>
        </w:rPr>
      </w:pPr>
    </w:p>
    <w:p w14:paraId="6D62BF15"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La realizarea Fundamentării bugetare salariul/ onorariul experților cheie se va calcula exclusiv pe durata efectiv prestată de experți în cadrul activităților de formare profesională/ </w:t>
      </w:r>
      <w:proofErr w:type="spellStart"/>
      <w:r w:rsidRPr="006F08AD">
        <w:rPr>
          <w:rFonts w:ascii="Calibri" w:eastAsia="Calibri" w:hAnsi="Calibri"/>
          <w:sz w:val="24"/>
          <w:szCs w:val="22"/>
          <w:lang w:val="ro-RO"/>
        </w:rPr>
        <w:t>activităţilor</w:t>
      </w:r>
      <w:proofErr w:type="spellEnd"/>
      <w:r w:rsidRPr="006F08AD">
        <w:rPr>
          <w:rFonts w:ascii="Calibri" w:eastAsia="Calibri" w:hAnsi="Calibri"/>
          <w:sz w:val="24"/>
          <w:szCs w:val="22"/>
          <w:lang w:val="ro-RO"/>
        </w:rPr>
        <w:t xml:space="preserve"> demonstrative/ </w:t>
      </w:r>
      <w:proofErr w:type="spellStart"/>
      <w:r w:rsidRPr="006F08AD">
        <w:rPr>
          <w:rFonts w:ascii="Calibri" w:eastAsia="Calibri" w:hAnsi="Calibri"/>
          <w:sz w:val="24"/>
          <w:szCs w:val="22"/>
          <w:lang w:val="ro-RO"/>
        </w:rPr>
        <w:t>acţiunilor</w:t>
      </w:r>
      <w:proofErr w:type="spellEnd"/>
      <w:r w:rsidRPr="006F08AD">
        <w:rPr>
          <w:rFonts w:ascii="Calibri" w:eastAsia="Calibri" w:hAnsi="Calibri"/>
          <w:sz w:val="24"/>
          <w:szCs w:val="22"/>
          <w:lang w:val="ro-RO"/>
        </w:rPr>
        <w:t xml:space="preserve"> de informare/ acțiunilor de consiliere (zile/curs, zile/seminar, zile/sesiune)/ activităților specifice proiectului de servicii (zile lucrate pentru elaborare monografie, studiu etc.)/ acțiunilor de informare (difuzarea cunoștințelor științifice și tehnice) și </w:t>
      </w:r>
      <w:r w:rsidRPr="006F08AD">
        <w:rPr>
          <w:rFonts w:ascii="Calibri" w:eastAsia="Calibri" w:hAnsi="Calibri"/>
          <w:sz w:val="24"/>
          <w:szCs w:val="22"/>
          <w:lang w:val="ro-RO"/>
        </w:rPr>
        <w:lastRenderedPageBreak/>
        <w:t xml:space="preserve">promovare a produselor care fac obiectul unui sistem de calitate (zile derulare eveniment: seminar, târg, expoziție etc.)/ acțiunilor de cooperare în vederea creării/ dezvoltării/ promovării lanțului scurt de </w:t>
      </w:r>
      <w:proofErr w:type="spellStart"/>
      <w:r w:rsidRPr="006F08AD">
        <w:rPr>
          <w:rFonts w:ascii="Calibri" w:eastAsia="Calibri" w:hAnsi="Calibri"/>
          <w:sz w:val="24"/>
          <w:szCs w:val="22"/>
          <w:lang w:val="ro-RO"/>
        </w:rPr>
        <w:t>aprovixionare</w:t>
      </w:r>
      <w:proofErr w:type="spellEnd"/>
      <w:r w:rsidRPr="006F08AD">
        <w:rPr>
          <w:rFonts w:ascii="Calibri" w:eastAsia="Calibri" w:hAnsi="Calibri"/>
          <w:sz w:val="24"/>
          <w:szCs w:val="22"/>
          <w:lang w:val="ro-RO"/>
        </w:rPr>
        <w:t xml:space="preserve">/ pieței locale. </w:t>
      </w:r>
    </w:p>
    <w:p w14:paraId="0049870A" w14:textId="77777777" w:rsidR="006F08AD" w:rsidRPr="006F08AD" w:rsidRDefault="006F08AD" w:rsidP="006F08AD">
      <w:pPr>
        <w:spacing w:before="120" w:after="120"/>
        <w:contextualSpacing/>
        <w:jc w:val="both"/>
        <w:rPr>
          <w:rFonts w:ascii="Calibri" w:eastAsia="Calibri" w:hAnsi="Calibri"/>
          <w:sz w:val="24"/>
          <w:szCs w:val="22"/>
          <w:lang w:val="ro-RO"/>
        </w:rPr>
      </w:pPr>
    </w:p>
    <w:p w14:paraId="1FCE283B"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La realizarea Fundamentării bugetare,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14:paraId="42EA2F9C"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Pentru cheltuielile de cazare se va respecta baremul impus de HG nr. 714/2018, privind drepturile şi </w:t>
      </w:r>
      <w:proofErr w:type="spellStart"/>
      <w:r w:rsidRPr="006F08AD">
        <w:rPr>
          <w:rFonts w:ascii="Calibri" w:eastAsia="Calibri" w:hAnsi="Calibri"/>
          <w:sz w:val="24"/>
          <w:szCs w:val="22"/>
          <w:lang w:val="ro-RO"/>
        </w:rPr>
        <w:t>obligaţiile</w:t>
      </w:r>
      <w:proofErr w:type="spellEnd"/>
      <w:r w:rsidRPr="006F08AD">
        <w:rPr>
          <w:rFonts w:ascii="Calibri" w:eastAsia="Calibri" w:hAnsi="Calibri"/>
          <w:sz w:val="24"/>
          <w:szCs w:val="22"/>
          <w:lang w:val="ro-RO"/>
        </w:rPr>
        <w:t xml:space="preserve"> personalului </w:t>
      </w:r>
      <w:proofErr w:type="spellStart"/>
      <w:r w:rsidRPr="006F08AD">
        <w:rPr>
          <w:rFonts w:ascii="Calibri" w:eastAsia="Calibri" w:hAnsi="Calibri"/>
          <w:sz w:val="24"/>
          <w:szCs w:val="22"/>
          <w:lang w:val="ro-RO"/>
        </w:rPr>
        <w:t>autorităţilor</w:t>
      </w:r>
      <w:proofErr w:type="spellEnd"/>
      <w:r w:rsidRPr="006F08AD">
        <w:rPr>
          <w:rFonts w:ascii="Calibri" w:eastAsia="Calibri" w:hAnsi="Calibri"/>
          <w:sz w:val="24"/>
          <w:szCs w:val="22"/>
          <w:lang w:val="ro-RO"/>
        </w:rPr>
        <w:t xml:space="preserve"> şi </w:t>
      </w:r>
      <w:proofErr w:type="spellStart"/>
      <w:r w:rsidRPr="006F08AD">
        <w:rPr>
          <w:rFonts w:ascii="Calibri" w:eastAsia="Calibri" w:hAnsi="Calibri"/>
          <w:sz w:val="24"/>
          <w:szCs w:val="22"/>
          <w:lang w:val="ro-RO"/>
        </w:rPr>
        <w:t>instituţiilor</w:t>
      </w:r>
      <w:proofErr w:type="spellEnd"/>
      <w:r w:rsidRPr="006F08AD">
        <w:rPr>
          <w:rFonts w:ascii="Calibri" w:eastAsia="Calibri" w:hAnsi="Calibri"/>
          <w:sz w:val="24"/>
          <w:szCs w:val="22"/>
          <w:lang w:val="ro-RO"/>
        </w:rPr>
        <w:t xml:space="preserve"> publice pe perioada delegării şi </w:t>
      </w:r>
      <w:proofErr w:type="spellStart"/>
      <w:r w:rsidRPr="006F08AD">
        <w:rPr>
          <w:rFonts w:ascii="Calibri" w:eastAsia="Calibri" w:hAnsi="Calibri"/>
          <w:sz w:val="24"/>
          <w:szCs w:val="22"/>
          <w:lang w:val="ro-RO"/>
        </w:rPr>
        <w:t>detaşării</w:t>
      </w:r>
      <w:proofErr w:type="spellEnd"/>
      <w:r w:rsidRPr="006F08AD">
        <w:rPr>
          <w:rFonts w:ascii="Calibri" w:eastAsia="Calibri" w:hAnsi="Calibri"/>
          <w:sz w:val="24"/>
          <w:szCs w:val="22"/>
          <w:lang w:val="ro-RO"/>
        </w:rPr>
        <w:t xml:space="preserve"> în altă localitate, precum şi în cazul deplasării în interesul </w:t>
      </w:r>
      <w:proofErr w:type="spellStart"/>
      <w:r w:rsidRPr="006F08AD">
        <w:rPr>
          <w:rFonts w:ascii="Calibri" w:eastAsia="Calibri" w:hAnsi="Calibri"/>
          <w:sz w:val="24"/>
          <w:szCs w:val="22"/>
          <w:lang w:val="ro-RO"/>
        </w:rPr>
        <w:t>serviciului,indiferent</w:t>
      </w:r>
      <w:proofErr w:type="spellEnd"/>
      <w:r w:rsidRPr="006F08AD">
        <w:rPr>
          <w:rFonts w:ascii="Calibri" w:eastAsia="Calibri" w:hAnsi="Calibri"/>
          <w:sz w:val="24"/>
          <w:szCs w:val="22"/>
          <w:lang w:val="ro-RO"/>
        </w:rPr>
        <w:t xml:space="preserve"> dacă aceasta este sau nu </w:t>
      </w:r>
      <w:proofErr w:type="spellStart"/>
      <w:r w:rsidRPr="006F08AD">
        <w:rPr>
          <w:rFonts w:ascii="Calibri" w:eastAsia="Calibri" w:hAnsi="Calibri"/>
          <w:sz w:val="24"/>
          <w:szCs w:val="22"/>
          <w:lang w:val="ro-RO"/>
        </w:rPr>
        <w:t>externalizată</w:t>
      </w:r>
      <w:proofErr w:type="spellEnd"/>
      <w:r w:rsidRPr="006F08AD">
        <w:rPr>
          <w:rFonts w:ascii="Calibri" w:eastAsia="Calibri" w:hAnsi="Calibri"/>
          <w:sz w:val="24"/>
          <w:szCs w:val="22"/>
          <w:lang w:val="ro-RO"/>
        </w:rPr>
        <w:t>.</w:t>
      </w:r>
    </w:p>
    <w:p w14:paraId="2D31432C"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w:t>
      </w:r>
      <w:proofErr w:type="spellStart"/>
      <w:r w:rsidRPr="006F08AD">
        <w:rPr>
          <w:rFonts w:ascii="Calibri" w:eastAsia="Calibri" w:hAnsi="Calibri"/>
          <w:sz w:val="24"/>
          <w:szCs w:val="22"/>
          <w:lang w:val="ro-RO"/>
        </w:rPr>
        <w:t>preţ</w:t>
      </w:r>
      <w:proofErr w:type="spellEnd"/>
      <w:r w:rsidRPr="006F08AD">
        <w:rPr>
          <w:rFonts w:ascii="Calibri" w:eastAsia="Calibri" w:hAnsi="Calibri"/>
          <w:sz w:val="24"/>
          <w:szCs w:val="22"/>
          <w:lang w:val="ro-RO"/>
        </w:rPr>
        <w:t xml:space="preserve">-calitate şi al </w:t>
      </w:r>
      <w:proofErr w:type="spellStart"/>
      <w:r w:rsidRPr="006F08AD">
        <w:rPr>
          <w:rFonts w:ascii="Calibri" w:eastAsia="Calibri" w:hAnsi="Calibri"/>
          <w:sz w:val="24"/>
          <w:szCs w:val="22"/>
          <w:lang w:val="ro-RO"/>
        </w:rPr>
        <w:t>rentabilităţii</w:t>
      </w:r>
      <w:proofErr w:type="spellEnd"/>
      <w:r w:rsidRPr="006F08AD">
        <w:rPr>
          <w:rFonts w:ascii="Calibri" w:eastAsia="Calibri" w:hAnsi="Calibri"/>
          <w:sz w:val="24"/>
          <w:szCs w:val="22"/>
          <w:lang w:val="ro-RO"/>
        </w:rPr>
        <w:t>.</w:t>
      </w:r>
    </w:p>
    <w:p w14:paraId="55EABE1C" w14:textId="77777777" w:rsidR="006F08AD" w:rsidRPr="006F08AD" w:rsidRDefault="006F08AD" w:rsidP="006F08AD">
      <w:pPr>
        <w:spacing w:before="120" w:after="120"/>
        <w:contextualSpacing/>
        <w:jc w:val="both"/>
        <w:rPr>
          <w:rFonts w:ascii="Calibri" w:eastAsia="Calibri" w:hAnsi="Calibri"/>
          <w:sz w:val="24"/>
          <w:szCs w:val="22"/>
          <w:lang w:val="ro-RO"/>
        </w:rPr>
      </w:pPr>
    </w:p>
    <w:p w14:paraId="298C0AD2"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Pentru acțiunile de formare, costul pe participant nu va depăși 55 euro/persoană/zi, respectiv 103 euro/persoană/zi dacă acesta cuprinde și cheltuieli de cazare și transport.</w:t>
      </w:r>
    </w:p>
    <w:p w14:paraId="7C87DB2C" w14:textId="77777777" w:rsidR="006F08AD" w:rsidRPr="006F08AD" w:rsidRDefault="006F08AD" w:rsidP="006F08AD">
      <w:pPr>
        <w:spacing w:before="120" w:after="120"/>
        <w:contextualSpacing/>
        <w:jc w:val="both"/>
        <w:rPr>
          <w:rFonts w:ascii="Calibri" w:eastAsia="Calibri" w:hAnsi="Calibri"/>
          <w:sz w:val="24"/>
          <w:szCs w:val="22"/>
          <w:lang w:val="ro-RO"/>
        </w:rPr>
      </w:pPr>
    </w:p>
    <w:p w14:paraId="02F032BB"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Pentru acțiunile de informare, costul pe participant nu va depăși 60 euro/persoană/zi.</w:t>
      </w:r>
    </w:p>
    <w:p w14:paraId="53D6DA44" w14:textId="77777777" w:rsidR="006F08AD" w:rsidRPr="006F08AD" w:rsidRDefault="006F08AD" w:rsidP="006F08AD">
      <w:pPr>
        <w:spacing w:before="120" w:after="120"/>
        <w:contextualSpacing/>
        <w:jc w:val="both"/>
        <w:rPr>
          <w:rFonts w:ascii="Calibri" w:eastAsia="Calibri" w:hAnsi="Calibri"/>
          <w:sz w:val="24"/>
          <w:szCs w:val="22"/>
          <w:lang w:val="ro-RO"/>
        </w:rPr>
      </w:pPr>
    </w:p>
    <w:p w14:paraId="74805498"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 xml:space="preserve">Pentru acțiunile de consiliere, costul pe participant nu va depăși 1500 euro. </w:t>
      </w:r>
    </w:p>
    <w:p w14:paraId="7A3A3FA7" w14:textId="77777777" w:rsidR="006F08AD" w:rsidRPr="006F08AD" w:rsidRDefault="006F08AD" w:rsidP="006F08AD">
      <w:pPr>
        <w:spacing w:before="120" w:after="120"/>
        <w:contextualSpacing/>
        <w:jc w:val="both"/>
        <w:rPr>
          <w:rFonts w:ascii="Calibri" w:eastAsia="Calibri" w:hAnsi="Calibri"/>
          <w:sz w:val="24"/>
          <w:szCs w:val="22"/>
          <w:lang w:val="ro-RO"/>
        </w:rPr>
      </w:pPr>
    </w:p>
    <w:p w14:paraId="27A8F45D" w14:textId="77777777" w:rsidR="006F08AD" w:rsidRPr="006F08AD" w:rsidRDefault="006F08AD" w:rsidP="006F08AD">
      <w:pPr>
        <w:spacing w:before="120" w:after="120"/>
        <w:contextualSpacing/>
        <w:jc w:val="both"/>
        <w:rPr>
          <w:rFonts w:ascii="Calibri" w:eastAsia="Calibri" w:hAnsi="Calibri"/>
          <w:sz w:val="24"/>
          <w:szCs w:val="22"/>
          <w:lang w:val="ro-RO"/>
        </w:rPr>
      </w:pPr>
    </w:p>
    <w:p w14:paraId="17B34FA8"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Cheltuieli neeligibile:</w:t>
      </w:r>
    </w:p>
    <w:p w14:paraId="55039887"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Nu sunt eligibile:</w:t>
      </w:r>
    </w:p>
    <w:p w14:paraId="05FF4B3D"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cheltuielile cu investițiile;</w:t>
      </w:r>
    </w:p>
    <w:p w14:paraId="2DF60E9F"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cheltuielile legate de cursuri de formare profesională finanțate prin alte programe;</w:t>
      </w:r>
    </w:p>
    <w:p w14:paraId="539BAAB9"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 xml:space="preserve">cheltuielile  pentru activitățile de informare/ promovare a vinurilor de calitate finanțate din fonduri F.E.G.A; </w:t>
      </w:r>
    </w:p>
    <w:p w14:paraId="15F1678E" w14:textId="77777777" w:rsidR="006F08AD" w:rsidRPr="006F08AD"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cheltuielile pentru acțiunile de informare și de promovare referitoare la mărci comerciale;</w:t>
      </w:r>
    </w:p>
    <w:p w14:paraId="691E7F16" w14:textId="77777777" w:rsidR="00CA30B9" w:rsidRDefault="006F08AD" w:rsidP="006F08AD">
      <w:pPr>
        <w:spacing w:before="120" w:after="120"/>
        <w:contextualSpacing/>
        <w:jc w:val="both"/>
        <w:rPr>
          <w:rFonts w:ascii="Calibri" w:eastAsia="Calibri" w:hAnsi="Calibri"/>
          <w:sz w:val="24"/>
          <w:szCs w:val="22"/>
          <w:lang w:val="ro-RO"/>
        </w:rPr>
      </w:pPr>
      <w:r w:rsidRPr="006F08AD">
        <w:rPr>
          <w:rFonts w:ascii="Calibri" w:eastAsia="Calibri" w:hAnsi="Calibri"/>
          <w:sz w:val="24"/>
          <w:szCs w:val="22"/>
          <w:lang w:val="ro-RO"/>
        </w:rPr>
        <w:t>•</w:t>
      </w:r>
      <w:r w:rsidRPr="006F08AD">
        <w:rPr>
          <w:rFonts w:ascii="Calibri" w:eastAsia="Calibri" w:hAnsi="Calibri"/>
          <w:sz w:val="24"/>
          <w:szCs w:val="22"/>
          <w:lang w:val="ro-RO"/>
        </w:rPr>
        <w:tab/>
        <w:t>cheltuielile care nu servesc exclusiv obiectivelor proiectului.</w:t>
      </w:r>
    </w:p>
    <w:sectPr w:rsidR="00CA30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AB94" w14:textId="77777777" w:rsidR="008B3E5B" w:rsidRDefault="008B3E5B" w:rsidP="00D95CAE">
      <w:r>
        <w:separator/>
      </w:r>
    </w:p>
  </w:endnote>
  <w:endnote w:type="continuationSeparator" w:id="0">
    <w:p w14:paraId="5FA07BA9" w14:textId="77777777" w:rsidR="008B3E5B" w:rsidRDefault="008B3E5B" w:rsidP="00D9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05598"/>
      <w:docPartObj>
        <w:docPartGallery w:val="Page Numbers (Bottom of Page)"/>
        <w:docPartUnique/>
      </w:docPartObj>
    </w:sdtPr>
    <w:sdtContent>
      <w:sdt>
        <w:sdtPr>
          <w:id w:val="860082579"/>
          <w:docPartObj>
            <w:docPartGallery w:val="Page Numbers (Top of Page)"/>
            <w:docPartUnique/>
          </w:docPartObj>
        </w:sdtPr>
        <w:sdtContent>
          <w:p w14:paraId="60074B3B" w14:textId="2F1245B8" w:rsidR="00D95CAE" w:rsidRDefault="00D95CAE" w:rsidP="00AB2FB9">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08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080D">
              <w:rPr>
                <w:b/>
                <w:bCs/>
                <w:noProof/>
              </w:rPr>
              <w:t>1</w:t>
            </w:r>
            <w:r>
              <w:rPr>
                <w:b/>
                <w:bCs/>
                <w:sz w:val="24"/>
                <w:szCs w:val="24"/>
              </w:rPr>
              <w:fldChar w:fldCharType="end"/>
            </w:r>
          </w:p>
        </w:sdtContent>
      </w:sdt>
    </w:sdtContent>
  </w:sdt>
  <w:p w14:paraId="12DDFC0A" w14:textId="77777777" w:rsidR="00D95CAE" w:rsidRDefault="00D95C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1557" w14:textId="77777777" w:rsidR="008B3E5B" w:rsidRDefault="008B3E5B" w:rsidP="00D95CAE">
      <w:r>
        <w:separator/>
      </w:r>
    </w:p>
  </w:footnote>
  <w:footnote w:type="continuationSeparator" w:id="0">
    <w:p w14:paraId="1C71EAAA" w14:textId="77777777" w:rsidR="008B3E5B" w:rsidRDefault="008B3E5B" w:rsidP="00D95CAE">
      <w:r>
        <w:continuationSeparator/>
      </w:r>
    </w:p>
  </w:footnote>
  <w:footnote w:id="1">
    <w:p w14:paraId="6FB8CCCD" w14:textId="77777777" w:rsidR="006F08AD" w:rsidRPr="00D05DB7" w:rsidRDefault="006F08AD" w:rsidP="006F08AD">
      <w:pPr>
        <w:pStyle w:val="Textnotdesubsol"/>
      </w:pPr>
      <w:r w:rsidRPr="00D05DB7">
        <w:rPr>
          <w:rStyle w:val="Referinnotdesubsol"/>
        </w:rPr>
        <w:footnoteRef/>
      </w:r>
      <w:r w:rsidRPr="00D05DB7">
        <w:t xml:space="preserve"> Se va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și </w:t>
      </w:r>
      <w:proofErr w:type="spellStart"/>
      <w:r w:rsidRPr="00D05DB7">
        <w:t>rezultatele</w:t>
      </w:r>
      <w:proofErr w:type="spellEnd"/>
      <w:r w:rsidRPr="00D05DB7">
        <w:t xml:space="preserve"> proiectului.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2435514">
    <w:abstractNumId w:val="4"/>
  </w:num>
  <w:num w:numId="2" w16cid:durableId="353726697">
    <w:abstractNumId w:val="3"/>
  </w:num>
  <w:num w:numId="3" w16cid:durableId="1266227719">
    <w:abstractNumId w:val="0"/>
  </w:num>
  <w:num w:numId="4" w16cid:durableId="734859361">
    <w:abstractNumId w:val="5"/>
  </w:num>
  <w:num w:numId="5" w16cid:durableId="1347557230">
    <w:abstractNumId w:val="2"/>
  </w:num>
  <w:num w:numId="6" w16cid:durableId="349844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CAE"/>
    <w:rsid w:val="00001F22"/>
    <w:rsid w:val="0004348F"/>
    <w:rsid w:val="0016080D"/>
    <w:rsid w:val="002D02C9"/>
    <w:rsid w:val="003F02D1"/>
    <w:rsid w:val="004F3334"/>
    <w:rsid w:val="005B2C5A"/>
    <w:rsid w:val="006438B4"/>
    <w:rsid w:val="006F08AD"/>
    <w:rsid w:val="00753EF1"/>
    <w:rsid w:val="0077640F"/>
    <w:rsid w:val="00821C8A"/>
    <w:rsid w:val="008B3E5B"/>
    <w:rsid w:val="00AB2FB9"/>
    <w:rsid w:val="00AE13E2"/>
    <w:rsid w:val="00B06151"/>
    <w:rsid w:val="00C271EF"/>
    <w:rsid w:val="00CA30B9"/>
    <w:rsid w:val="00D733C2"/>
    <w:rsid w:val="00D95CAE"/>
    <w:rsid w:val="00EE0C7C"/>
    <w:rsid w:val="00F12FBC"/>
    <w:rsid w:val="00F9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3754"/>
  <w15:docId w15:val="{76679C2A-7A52-4DB3-9C9B-47AA875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D95CAE"/>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D95CAE"/>
  </w:style>
  <w:style w:type="character" w:styleId="Referinnotdesubsol">
    <w:name w:val="footnote reference"/>
    <w:aliases w:val="Footnote,Footnote symbol,Fussnota,ftref"/>
    <w:unhideWhenUsed/>
    <w:rsid w:val="00D95CAE"/>
    <w:rPr>
      <w:vertAlign w:val="superscript"/>
    </w:rPr>
  </w:style>
  <w:style w:type="paragraph" w:styleId="Antet">
    <w:name w:val="header"/>
    <w:basedOn w:val="Normal"/>
    <w:link w:val="AntetCaracter"/>
    <w:uiPriority w:val="99"/>
    <w:unhideWhenUsed/>
    <w:rsid w:val="00D95CAE"/>
    <w:pPr>
      <w:tabs>
        <w:tab w:val="center" w:pos="4680"/>
        <w:tab w:val="right" w:pos="9360"/>
      </w:tabs>
    </w:pPr>
  </w:style>
  <w:style w:type="character" w:customStyle="1" w:styleId="AntetCaracter">
    <w:name w:val="Antet Caracter"/>
    <w:basedOn w:val="Fontdeparagrafimplicit"/>
    <w:link w:val="Antet"/>
    <w:uiPriority w:val="99"/>
    <w:rsid w:val="00D95CAE"/>
  </w:style>
  <w:style w:type="paragraph" w:styleId="Subsol">
    <w:name w:val="footer"/>
    <w:basedOn w:val="Normal"/>
    <w:link w:val="SubsolCaracter"/>
    <w:uiPriority w:val="99"/>
    <w:unhideWhenUsed/>
    <w:rsid w:val="00D95CAE"/>
    <w:pPr>
      <w:tabs>
        <w:tab w:val="center" w:pos="4680"/>
        <w:tab w:val="right" w:pos="9360"/>
      </w:tabs>
    </w:pPr>
  </w:style>
  <w:style w:type="character" w:customStyle="1" w:styleId="SubsolCaracter">
    <w:name w:val="Subsol Caracter"/>
    <w:basedOn w:val="Fontdeparagrafimplicit"/>
    <w:link w:val="Subsol"/>
    <w:uiPriority w:val="99"/>
    <w:rsid w:val="00D9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F45A1B-EE40-4A47-A1AB-4D082FC1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ANEXA 1_b. Buget Indicativ și Fundamentarea bugetului pe categorii de cheltuieli</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3</cp:revision>
  <dcterms:created xsi:type="dcterms:W3CDTF">2020-12-20T15:28:00Z</dcterms:created>
  <dcterms:modified xsi:type="dcterms:W3CDTF">2022-12-13T19:47:00Z</dcterms:modified>
</cp:coreProperties>
</file>